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BAC941">
      <w:pPr>
        <w:spacing w:after="0" w:line="240" w:lineRule="auto"/>
        <w:jc w:val="center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eastAsia" w:ascii="Times New Roman" w:hAnsi="Calibri" w:eastAsia="宋体"/>
          <w:b/>
          <w:bCs/>
          <w:sz w:val="30"/>
          <w:szCs w:val="30"/>
          <w:lang w:val="en-US" w:eastAsia="zh-CN"/>
        </w:rPr>
        <w:t>《</w:t>
      </w:r>
      <w:r>
        <w:rPr>
          <w:rFonts w:hint="default" w:ascii="Calibri" w:hAnsi="Calibri"/>
          <w:b/>
          <w:bCs/>
          <w:sz w:val="30"/>
          <w:szCs w:val="30"/>
          <w:lang w:val="en-US" w:eastAsia="zh-CN"/>
        </w:rPr>
        <w:t>农村高中学生英语阅读理解题的解题策略研究</w:t>
      </w:r>
      <w:r>
        <w:rPr>
          <w:rFonts w:hint="eastAsia" w:ascii="Times New Roman" w:hAnsi="Calibri" w:eastAsia="宋体"/>
          <w:b/>
          <w:bCs/>
          <w:sz w:val="30"/>
          <w:szCs w:val="30"/>
          <w:lang w:val="en-US" w:eastAsia="zh-CN"/>
        </w:rPr>
        <w:t>》日志</w:t>
      </w:r>
      <w:r>
        <w:rPr>
          <w:rFonts w:hint="eastAsia" w:hAnsi="Calibri"/>
          <w:b/>
          <w:bCs/>
          <w:sz w:val="30"/>
          <w:szCs w:val="30"/>
          <w:lang w:val="en-US" w:eastAsia="zh-CN"/>
        </w:rPr>
        <w:t>14</w:t>
      </w:r>
    </w:p>
    <w:p w14:paraId="5A882A57">
      <w:pPr>
        <w:spacing w:after="0" w:line="240" w:lineRule="auto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日志14：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2024届南通市三模英语试卷阅读理解分析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及启示(3)</w:t>
      </w:r>
    </w:p>
    <w:p w14:paraId="5B6B0742">
      <w:pPr>
        <w:spacing w:after="0" w:line="240" w:lineRule="auto"/>
        <w:ind w:firstLine="480" w:firstLineChars="200"/>
        <w:jc w:val="both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在这仅剩 20 多天的复习迎考的关键阶段，后期的练习点评工作显得至关重要，我们需要带领学生一同深入关注以下几个核心问题。</w:t>
      </w:r>
    </w:p>
    <w:p w14:paraId="289C3020">
      <w:pPr>
        <w:spacing w:after="0" w:line="240" w:lineRule="auto"/>
        <w:ind w:firstLine="480" w:firstLineChars="200"/>
        <w:jc w:val="both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题目设计的根本出发点在于切实有效地帮助考生全面、深入地理解语篇，从而对语篇的关键因素展开全面且精准的考察。所以，题目设置的目的并不仅仅是对基本理解层面的考查，更是要从语篇分析的深层次角度来考验学生的深度思维能力。</w:t>
      </w:r>
    </w:p>
    <w:p w14:paraId="21B161D6">
      <w:pPr>
        <w:spacing w:after="0" w:line="240" w:lineRule="auto"/>
        <w:ind w:firstLine="480" w:firstLineChars="200"/>
        <w:jc w:val="both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当我们为学生进行题目讲解的时候，绝对不能仅仅局限于告知他们题目的答案，而是要深入细致地帮助他们分析出现错误的根本原因，引领他们复盘整个思维过程。务必提醒学生要特别留意，正确选项往往会通过同义替换、信息归纳、语义转换等灵活且巧妙的方式来呈现关键信息。</w:t>
      </w:r>
    </w:p>
    <w:p w14:paraId="4EC0DBD5">
      <w:pPr>
        <w:spacing w:after="0" w:line="240" w:lineRule="auto"/>
        <w:ind w:firstLine="480" w:firstLineChars="200"/>
        <w:jc w:val="both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然而，干扰项虽然同样也是源自文本信息，但却可能运用各种各样的误导手法来迷惑考生。比如张冠李戴，就像 21 题中出现的“climb the tower to watch performance”这种明显错误的搭配；还有曲解文意，将原文的意思进行错误解读；颠倒是非，把原本正确的表述完全颠倒；扩缩范围，对原文所涉及的范围进行不合理的扩大或缩小；以及断章取义，截取部分原文内容来误导考生对整体意思的理解。</w:t>
      </w:r>
      <w:bookmarkStart w:id="0" w:name="_GoBack"/>
      <w:bookmarkEnd w:id="0"/>
    </w:p>
    <w:p w14:paraId="2F7264E3">
      <w:pPr>
        <w:spacing w:after="0" w:line="240" w:lineRule="auto"/>
        <w:ind w:firstLine="480" w:firstLineChars="200"/>
        <w:jc w:val="both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例如，在一篇关于科技发展的阅读理解中，原文提到“这项新技术在某些特定领域取得了显著进步”，而干扰项可能表述为“这项新技术在所有领域都取得了巨大成功”，这明显就是扩缩范围的错误。又比如，原文说“他在面对困难时偶尔会表现出犹豫”，干扰项却说“他在面对困难时总是犹豫不决”，这就是颠倒是非。</w:t>
      </w:r>
    </w:p>
    <w:p w14:paraId="06A7FA00">
      <w:pPr>
        <w:spacing w:after="0" w:line="240" w:lineRule="auto"/>
        <w:ind w:firstLine="480" w:firstLineChars="200"/>
        <w:jc w:val="both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总而言之，在阅读理解部分，学生们必须要做到精准定位关键信息，并且能够与选项进行精准匹配，只有这样，才能够在考试中有效提高答题的准确率，从而取得理想的成绩。</w:t>
      </w:r>
    </w:p>
    <w:p w14:paraId="481CAC31"/>
    <w:sectPr>
      <w:pgSz w:w="11906" w:h="16838"/>
      <w:pgMar w:top="1134" w:right="1134" w:bottom="1134" w:left="1134" w:header="851" w:footer="992" w:gutter="0"/>
      <w:cols w:space="0" w:num="1"/>
      <w:rtlGutter w:val="0"/>
      <w:docGrid w:type="lines" w:linePitch="31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lZTU5MmFlNmRmMDkwNzcwZjMyYWRlNGQzNjRiMzEifQ=="/>
  </w:docVars>
  <w:rsids>
    <w:rsidRoot w:val="1A6F24AC"/>
    <w:rsid w:val="098710FA"/>
    <w:rsid w:val="09E7285C"/>
    <w:rsid w:val="10704FE0"/>
    <w:rsid w:val="1A6F24AC"/>
    <w:rsid w:val="1B8E5866"/>
    <w:rsid w:val="5C0315F4"/>
    <w:rsid w:val="69D849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Plain Text"/>
    <w:basedOn w:val="1"/>
    <w:qFormat/>
    <w:uiPriority w:val="0"/>
    <w:rPr>
      <w:rFonts w:ascii="宋体" w:hAnsi="Courier New"/>
    </w:rPr>
  </w:style>
  <w:style w:type="paragraph" w:customStyle="1" w:styleId="6">
    <w:name w:val="样式1"/>
    <w:basedOn w:val="1"/>
    <w:next w:val="1"/>
    <w:uiPriority w:val="0"/>
    <w:rPr>
      <w:rFonts w:hint="eastAsia" w:ascii="Times New Roman" w:hAnsi="Times New Roman" w:eastAsia="宋体" w:cs="Times New Roman"/>
      <w:kern w:val="2"/>
      <w:sz w:val="24"/>
      <w:szCs w:val="24"/>
      <w:lang w:eastAsia="zh-CN" w:bidi="ar-SA"/>
    </w:rPr>
  </w:style>
  <w:style w:type="paragraph" w:customStyle="1" w:styleId="7">
    <w:name w:val="样式2"/>
    <w:basedOn w:val="1"/>
    <w:next w:val="3"/>
    <w:qFormat/>
    <w:uiPriority w:val="0"/>
    <w:pPr>
      <w:wordWrap w:val="0"/>
    </w:pPr>
    <w:rPr>
      <w:rFonts w:hint="eastAsia" w:ascii="宋体" w:hAnsi="宋体" w:eastAsia="宋体" w:cs="Times New Roman"/>
      <w:bCs/>
      <w:color w:val="000000" w:themeColor="text1"/>
      <w:kern w:val="0"/>
      <w:sz w:val="20"/>
      <w:szCs w:val="20"/>
      <w:lang w:eastAsia="zh-CN" w:bidi="ar-SA"/>
      <w14:textFill>
        <w14:solidFill>
          <w14:schemeClr w14:val="tx1"/>
        </w14:solidFill>
      </w14:textFill>
    </w:rPr>
  </w:style>
  <w:style w:type="paragraph" w:customStyle="1" w:styleId="8">
    <w:name w:val="自己样式"/>
    <w:basedOn w:val="6"/>
    <w:next w:val="6"/>
    <w:qFormat/>
    <w:uiPriority w:val="0"/>
    <w:rPr>
      <w:rFonts w:ascii="Times New Roman" w:hAnsi="Times New Roman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Office_12.1.0.18334_F1E327BC-269C-435d-A152-05C5408002CA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2024-12-31T07:43:00Z</dcterms:created>
  <dc:creator>小平</dc:creator>
  <cp:lastModifiedBy>小平</cp:lastModifiedBy>
  <dcterms:modified xsi:type="dcterms:W3CDTF">2024-12-31T07:46:13Z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2052-12.1.0.18334</vt:lpwstr>
  </property>
  <property fmtid="{D5CDD505-2E9C-101B-9397-08002B2CF9AE}" pid="3" name="ICV">
    <vt:lpwstr>1BC53FAD6D1E481EB7B327C8DD0029E4_11</vt:lpwstr>
  </property>
</Properties>
</file>